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D2" w:rsidRPr="00EB40EB" w:rsidRDefault="004B2CD2">
      <w:pPr>
        <w:jc w:val="center"/>
        <w:rPr>
          <w:rFonts w:ascii="TH Baijam" w:eastAsia="TH SarabunPSK" w:hAnsi="TH Baijam" w:cs="TH Baijam"/>
          <w:b/>
          <w:color w:val="000000"/>
          <w:sz w:val="28"/>
          <w:szCs w:val="28"/>
        </w:rPr>
      </w:pPr>
      <w:r w:rsidRPr="00EB40EB">
        <w:rPr>
          <w:rFonts w:ascii="TH Baijam" w:eastAsia="TH SarabunPSK" w:hAnsi="TH Baijam" w:cs="TH Baijam"/>
          <w:b/>
          <w:color w:val="000000"/>
          <w:sz w:val="28"/>
          <w:szCs w:val="28"/>
        </w:rPr>
        <w:t xml:space="preserve"> </w:t>
      </w:r>
      <w:r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>ตารางสรุปมาตรกา</w:t>
      </w:r>
      <w:r>
        <w:rPr>
          <w:rFonts w:ascii="TH Baijam" w:eastAsia="TH SarabunPSK" w:hAnsi="TH Baijam" w:cs="TH Baijam" w:hint="cs"/>
          <w:b/>
          <w:bCs/>
          <w:color w:val="000000"/>
          <w:sz w:val="28"/>
          <w:szCs w:val="28"/>
          <w:cs/>
        </w:rPr>
        <w:t>รอุปสรรคทางเทคนิคต่อการค้า</w:t>
      </w:r>
      <w:r w:rsidRPr="00EB40EB"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 xml:space="preserve"> </w:t>
      </w:r>
      <w:r>
        <w:rPr>
          <w:rFonts w:ascii="TH Baijam" w:eastAsia="TH SarabunPSK" w:hAnsi="TH Baijam" w:cs="TH Baijam"/>
          <w:b/>
          <w:color w:val="000000"/>
          <w:sz w:val="28"/>
          <w:szCs w:val="28"/>
        </w:rPr>
        <w:t>(TBT/WTO</w:t>
      </w:r>
      <w:r w:rsidRPr="00EB40EB">
        <w:rPr>
          <w:rFonts w:ascii="TH Baijam" w:eastAsia="TH SarabunPSK" w:hAnsi="TH Baijam" w:cs="TH Baijam"/>
          <w:b/>
          <w:color w:val="000000"/>
          <w:sz w:val="28"/>
          <w:szCs w:val="28"/>
        </w:rPr>
        <w:t xml:space="preserve"> Notification)</w:t>
      </w:r>
    </w:p>
    <w:p w:rsidR="004B2CD2" w:rsidRPr="00EB40EB" w:rsidRDefault="004B2CD2" w:rsidP="00B11EF9">
      <w:pPr>
        <w:jc w:val="center"/>
        <w:rPr>
          <w:rFonts w:ascii="TH Baijam" w:eastAsia="TH SarabunPSK" w:hAnsi="TH Baijam" w:cs="TH Baijam"/>
          <w:b/>
          <w:bCs/>
          <w:color w:val="000000"/>
          <w:sz w:val="28"/>
          <w:szCs w:val="28"/>
        </w:rPr>
      </w:pPr>
      <w:r w:rsidRPr="00EB40EB"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>ประจำวันที่</w:t>
      </w:r>
      <w:r w:rsidRPr="00EB40EB">
        <w:rPr>
          <w:rFonts w:ascii="TH Baijam" w:eastAsia="TH SarabunPSK" w:hAnsi="TH Baijam" w:cs="TH Baijam"/>
          <w:b/>
          <w:bCs/>
          <w:color w:val="000000"/>
          <w:sz w:val="28"/>
          <w:szCs w:val="28"/>
        </w:rPr>
        <w:t xml:space="preserve"> </w:t>
      </w:r>
      <w:r w:rsidRPr="00A527FF">
        <w:rPr>
          <w:rFonts w:ascii="TH Baijam" w:eastAsia="TH SarabunPSK" w:hAnsi="TH Baijam" w:cs="TH Baijam"/>
          <w:b/>
          <w:bCs/>
          <w:noProof/>
          <w:color w:val="000000"/>
          <w:sz w:val="28"/>
          <w:szCs w:val="28"/>
        </w:rPr>
        <w:t xml:space="preserve">1 - 15 </w:t>
      </w:r>
      <w:r w:rsidRPr="00A527FF">
        <w:rPr>
          <w:rFonts w:ascii="TH Baijam" w:eastAsia="TH SarabunPSK" w:hAnsi="TH Baijam" w:cs="TH Baijam"/>
          <w:b/>
          <w:bCs/>
          <w:noProof/>
          <w:color w:val="000000"/>
          <w:sz w:val="28"/>
          <w:szCs w:val="28"/>
          <w:cs/>
        </w:rPr>
        <w:t xml:space="preserve">พฤษภาคม </w:t>
      </w:r>
      <w:r w:rsidRPr="00A527FF">
        <w:rPr>
          <w:rFonts w:ascii="TH Baijam" w:eastAsia="TH SarabunPSK" w:hAnsi="TH Baijam" w:cs="TH Baijam"/>
          <w:b/>
          <w:bCs/>
          <w:noProof/>
          <w:color w:val="000000"/>
          <w:sz w:val="28"/>
          <w:szCs w:val="28"/>
        </w:rPr>
        <w:t>2566</w:t>
      </w:r>
    </w:p>
    <w:p w:rsidR="004B2CD2" w:rsidRPr="00EB40EB" w:rsidRDefault="004B2CD2">
      <w:pPr>
        <w:jc w:val="center"/>
        <w:rPr>
          <w:rFonts w:ascii="TH Baijam" w:eastAsia="TH SarabunPSK" w:hAnsi="TH Baijam" w:cs="TH Baijam"/>
          <w:b/>
          <w:color w:val="000000"/>
          <w:sz w:val="28"/>
          <w:szCs w:val="28"/>
        </w:rPr>
      </w:pPr>
    </w:p>
    <w:tbl>
      <w:tblPr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2800"/>
        <w:gridCol w:w="2019"/>
        <w:gridCol w:w="4820"/>
        <w:gridCol w:w="1666"/>
        <w:gridCol w:w="1701"/>
        <w:gridCol w:w="1701"/>
      </w:tblGrid>
      <w:tr w:rsidR="004B2CD2" w:rsidRPr="00EB40EB" w:rsidTr="00FE50F7">
        <w:trPr>
          <w:trHeight w:val="1160"/>
          <w:tblHeader/>
          <w:jc w:val="center"/>
        </w:trPr>
        <w:tc>
          <w:tcPr>
            <w:tcW w:w="739" w:type="dxa"/>
            <w:vAlign w:val="center"/>
          </w:tcPr>
          <w:p w:rsidR="004B2CD2" w:rsidRPr="00EB40EB" w:rsidRDefault="004B2CD2" w:rsidP="001B112C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B2CD2" w:rsidRPr="00EB40EB" w:rsidRDefault="004B2CD2">
            <w:pPr>
              <w:jc w:val="center"/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ประเทศที่แจ้ง              </w:t>
            </w:r>
          </w:p>
          <w:p w:rsidR="004B2CD2" w:rsidRPr="00EB40EB" w:rsidRDefault="004B2CD2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หมายเลข </w:t>
            </w:r>
            <w:r w:rsidRPr="00EB40EB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Notification</w:t>
            </w:r>
          </w:p>
          <w:p w:rsidR="004B2CD2" w:rsidRPr="00EB40EB" w:rsidRDefault="004B2CD2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วันที่ </w:t>
            </w:r>
            <w:r w:rsidRPr="00EB40EB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 xml:space="preserve">WTO </w:t>
            </w: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แจ้งเวียน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4B2CD2" w:rsidRPr="00EB40EB" w:rsidRDefault="004B2CD2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สินค้า</w:t>
            </w:r>
            <w:r w:rsidRPr="00EB40EB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/</w:t>
            </w:r>
          </w:p>
          <w:p w:rsidR="004B2CD2" w:rsidRPr="00EB40EB" w:rsidRDefault="004B2CD2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มาตรการ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2CD2" w:rsidRPr="00EB40EB" w:rsidRDefault="004B2CD2" w:rsidP="001B112C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สาระสำคัญ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B2CD2" w:rsidRPr="00EB40EB" w:rsidRDefault="004B2CD2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วันสุดท้ายที่แสดงความเห็น</w:t>
            </w:r>
            <w:r w:rsidRPr="00EB40EB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/</w:t>
            </w: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คัดค้าน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2CD2" w:rsidRPr="00EB40EB" w:rsidRDefault="004B2CD2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วันที่มี                       ผลบังคับใช้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2CD2" w:rsidRPr="00EB40EB" w:rsidRDefault="004B2CD2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จุดประสงค์</w:t>
            </w:r>
          </w:p>
        </w:tc>
      </w:tr>
      <w:tr w:rsidR="004B2CD2" w:rsidRPr="00EB40EB" w:rsidTr="00FE50F7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1B112C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ออสเตรเลีย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Default="004B2CD2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G/TBT/N/AUS/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112/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</w:t>
            </w:r>
          </w:p>
          <w:p w:rsidR="004B2CD2" w:rsidRPr="00442214" w:rsidRDefault="004B2CD2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 พฤษภาคม 2566</w:t>
            </w:r>
          </w:p>
          <w:p w:rsidR="004B2CD2" w:rsidRPr="00EB40EB" w:rsidRDefault="004B2CD2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2CD2" w:rsidRPr="00EB40EB" w:rsidRDefault="004B2CD2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เครื่องดื่มแอลกอฮอล์</w:t>
            </w:r>
          </w:p>
        </w:tc>
        <w:tc>
          <w:tcPr>
            <w:tcW w:w="4820" w:type="dxa"/>
          </w:tcPr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ประกาศมาตรฐานอาหารออสเตรเลีย นิวซีแลนด์ (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FSANZ)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ได้อนุมัติการแก้ไขมาตรฐาน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2.7.1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เพื่ออนุญาตให้ใช้เครื่องหมายเตือนการตั้งครรภ์ทางเลือกสำหรับบรรจุภัณฑ์ด้านนอกที่เป็นกระดาษลูกฟูกสำหรับการจำหน่ายปลีก ที่พิมพ์โดยใช้กระบวนการหลังพิมพ์และมีเครื่องดื่มแอลกอฮอล์มากกว่าหนึ่งหน่วย เครื่องหมายเตือนการตั้งครรภ์ทางเลือกมีข้อกำหนดสีเดียว (สีดำ) คอนทราสต์ และขนาดตามที่กำหนดไว้ในมาตรฐาน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2.7.1 </w:t>
            </w:r>
          </w:p>
          <w:p w:rsidR="004B2CD2" w:rsidRDefault="004B2CD2" w:rsidP="001B112C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ารสิ้นสุดระยะเวลาการเปลี่ยนแปลงสำหรับบรรจุภัณฑ์อื่นทั้งหมดและภาชนะแต่ละชิ้นเพื่อแสดงฉลากเตือนการตั้งครรภ์อยู่ในวันที่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31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ก.ค.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66</w:t>
            </w:r>
          </w:p>
          <w:p w:rsidR="004B2CD2" w:rsidRPr="00EB40EB" w:rsidRDefault="004B2CD2" w:rsidP="001B112C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1B112C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https://www.foodstandards.gov.au/code/changes/gazette/Pages/default.aspx</w:t>
            </w:r>
          </w:p>
        </w:tc>
        <w:tc>
          <w:tcPr>
            <w:tcW w:w="1666" w:type="dxa"/>
          </w:tcPr>
          <w:p w:rsidR="004B2CD2" w:rsidRPr="00EB40EB" w:rsidRDefault="004B2CD2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การติดฉลาก</w:t>
            </w:r>
          </w:p>
        </w:tc>
      </w:tr>
      <w:tr w:rsidR="004B2CD2" w:rsidRPr="00EB40EB" w:rsidTr="00FE50F7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G/TBT/N/BRA/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1274/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4B2CD2" w:rsidRDefault="004B2CD2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 พฤษภาคม 2566</w:t>
            </w:r>
          </w:p>
          <w:p w:rsidR="004B2CD2" w:rsidRPr="00EB40EB" w:rsidRDefault="004B2CD2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2CD2" w:rsidRPr="00EB40EB" w:rsidRDefault="004B2CD2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แฮมต้ม (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boiled ham),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แฮมแปรรูป (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superior cooked ham, tender cooked ham,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และ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poultry cooked ham)</w:t>
            </w:r>
          </w:p>
        </w:tc>
        <w:tc>
          <w:tcPr>
            <w:tcW w:w="4820" w:type="dxa"/>
          </w:tcPr>
          <w:p w:rsidR="004B2CD2" w:rsidRDefault="004B2CD2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ประกาศบังคับใช้ร่างกฎระเบียบว่าด้วยข้อกำหนดลักษณะและคุณภาพสำหรับแฮมต้ม (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boiled ham),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แฮมแปรรูป (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superior cooked ham, tender cooked ham,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poultry </w:t>
            </w:r>
            <w:r w:rsidRPr="004B2CD2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 xml:space="preserve">cooked ham) </w:t>
            </w:r>
            <w:r w:rsidRPr="004B2CD2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 xml:space="preserve">ที่เคยประกาศนับข้อคิดเห็นผ่านประกาศ </w:t>
            </w:r>
            <w:r w:rsidRPr="004B2CD2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 xml:space="preserve">MAPA/SDA Ordinance No. 430 </w:t>
            </w:r>
            <w:r w:rsidRPr="004B2CD2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 xml:space="preserve">ลงวันที่ </w:t>
            </w:r>
            <w:r w:rsidRPr="004B2CD2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 xml:space="preserve">19 </w:t>
            </w:r>
            <w:r w:rsidRPr="004B2CD2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 xml:space="preserve">ต.ค. </w:t>
            </w:r>
            <w:r w:rsidRPr="004B2CD2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 xml:space="preserve">64 </w:t>
            </w:r>
            <w:r w:rsidRPr="004B2CD2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 xml:space="preserve">ในชื่อ </w:t>
            </w:r>
            <w:r w:rsidRPr="004B2CD2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 xml:space="preserve">MAPA/SDA OrdinanceNo. 765 </w:t>
            </w:r>
            <w:r w:rsidRPr="004B2CD2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 xml:space="preserve">ลงวันที่ </w:t>
            </w:r>
            <w:r w:rsidRPr="004B2CD2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 xml:space="preserve">6 </w:t>
            </w:r>
            <w:r w:rsidRPr="004B2CD2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 xml:space="preserve">เม.ย. </w:t>
            </w:r>
            <w:r w:rsidRPr="004B2CD2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>66</w:t>
            </w:r>
          </w:p>
          <w:p w:rsidR="004B2CD2" w:rsidRPr="00EB40EB" w:rsidRDefault="004B2CD2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Default="004B2CD2" w:rsidP="00FB099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https://www.in.gov.br/en/web/dou/-/portaria-sda-n-765-de-6-de-abril-de-2023-477630109</w:t>
            </w:r>
          </w:p>
          <w:p w:rsidR="004B2CD2" w:rsidRDefault="004B2CD2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  <w:p w:rsidR="004B2CD2" w:rsidRPr="00EB40EB" w:rsidRDefault="004B2CD2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666" w:type="dxa"/>
          </w:tcPr>
          <w:p w:rsidR="004B2CD2" w:rsidRPr="00EB40EB" w:rsidRDefault="004B2CD2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4B2CD2" w:rsidRPr="00EB40EB" w:rsidRDefault="004B2CD2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4B2CD2" w:rsidRPr="00EB40EB" w:rsidTr="00FE50F7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G/TBT/N/BRA/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1483</w:t>
            </w:r>
          </w:p>
          <w:p w:rsidR="004B2CD2" w:rsidRDefault="004B2CD2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 พฤษภาคม 2566</w:t>
            </w:r>
          </w:p>
          <w:p w:rsidR="004B2CD2" w:rsidRPr="00EB40EB" w:rsidRDefault="004B2CD2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4B2CD2" w:rsidRPr="00EB40EB" w:rsidRDefault="004B2CD2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ชีสและลิ่มน้ำนม</w:t>
            </w:r>
          </w:p>
        </w:tc>
        <w:tc>
          <w:tcPr>
            <w:tcW w:w="4820" w:type="dxa"/>
          </w:tcPr>
          <w:p w:rsidR="004B2CD2" w:rsidRPr="00EB40EB" w:rsidRDefault="004B2CD2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ประกาศกฎระเบียบ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MAPA/SDA nº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776 เปิดรับข้อคิดเห็นเป็นระยะเวลา 75 วันเกี่ยวกับร่างกฎระเบียบทางเทคนิคของเอกลักษณ์และคุณภาพของเครื่องดื่มนม รายละเอียดเพิ่มเติมดังเว็บไซต์ต่อไปนี้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https://www.gov.br/agricultura/pt-br/acesso-a-informacao/participacao-social/consultas-publicas/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copy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_of_consulta-publica-portaria-conjunta-mapa-ibama-e-anvisa-procedimentos-para-distribuicao-dos-processos-pendentes-de-registro-de-produtos-tecnicos-equivalentes-pre-misturas-e-produtos-formulados-de-agrotoxicos-e-afins</w:t>
            </w:r>
          </w:p>
          <w:p w:rsidR="004B2CD2" w:rsidRPr="00EB40EB" w:rsidRDefault="004B2CD2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https://www.in.gov.br/web/dou/-/portaria-sda-n-776-de-20-de-abril-de-2023-478906871</w:t>
            </w:r>
          </w:p>
        </w:tc>
        <w:tc>
          <w:tcPr>
            <w:tcW w:w="1666" w:type="dxa"/>
          </w:tcPr>
          <w:p w:rsidR="004B2CD2" w:rsidRPr="00EB40EB" w:rsidRDefault="004B2CD2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9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4B2CD2" w:rsidRPr="00EB40EB" w:rsidRDefault="004B2CD2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4B2CD2" w:rsidRPr="00EB40EB" w:rsidTr="00FE50F7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G/TBT/N/BRA/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1484</w:t>
            </w:r>
          </w:p>
          <w:p w:rsidR="004B2CD2" w:rsidRDefault="004B2CD2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 พฤษภาคม 2566</w:t>
            </w:r>
          </w:p>
          <w:p w:rsidR="004B2CD2" w:rsidRPr="00442214" w:rsidRDefault="004B2CD2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2CD2" w:rsidRPr="00EB40EB" w:rsidRDefault="004B2CD2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ผลิตภัณฑ์สารประกอบนม (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dairy compounds)</w:t>
            </w:r>
          </w:p>
        </w:tc>
        <w:tc>
          <w:tcPr>
            <w:tcW w:w="4820" w:type="dxa"/>
          </w:tcPr>
          <w:p w:rsidR="004B2CD2" w:rsidRDefault="004B2CD2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จัดทำประกาศ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MAPA/SDA Ordinance No. 777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ลงวันที่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20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เม.ย.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66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ประกาศเปิดรับข้อคิดเห็นในร่างกฎระเบียบว่าด้วยข้อกำหนดลักษณะและคุณภาพของผลิตภัณฑ์สารประกอบนม (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dairy compounds)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เป็นเวลา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75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วัน</w:t>
            </w:r>
          </w:p>
          <w:p w:rsidR="004B2CD2" w:rsidRPr="00EB40EB" w:rsidRDefault="004B2CD2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https://www.in.gov.br/web/dou/-/portaria-sda-n-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777-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de-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20-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de-abril-de-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2023-478892348</w:t>
            </w:r>
          </w:p>
        </w:tc>
        <w:tc>
          <w:tcPr>
            <w:tcW w:w="1666" w:type="dxa"/>
          </w:tcPr>
          <w:p w:rsidR="004B2CD2" w:rsidRPr="00EB40EB" w:rsidRDefault="004B2CD2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 ก.ค. 66</w:t>
            </w:r>
          </w:p>
        </w:tc>
        <w:tc>
          <w:tcPr>
            <w:tcW w:w="1701" w:type="dxa"/>
          </w:tcPr>
          <w:p w:rsidR="004B2CD2" w:rsidRPr="00EB40EB" w:rsidRDefault="004B2CD2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G/TBT/N/BRA/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922/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 พฤษภาคม 2566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ครีมชีส</w:t>
            </w:r>
          </w:p>
        </w:tc>
        <w:tc>
          <w:tcPr>
            <w:tcW w:w="4820" w:type="dxa"/>
          </w:tcPr>
          <w:p w:rsidR="004B2CD2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Ordinance SDA No. 791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ลงวันที่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28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เม.ย.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66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แก้ไขคำสั่ง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ฉบับที่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71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ของวันที่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24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ก.ค.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63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ซึ่งอนุมัติข้อบังคับทางเทคนิคที่กำหนดเอกลักษณ์และข้อกำหนดด้านคุณภาพสำหรับครีมชีส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https://www.in.gov.br/web/dou/-/portaria-sda-n-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791-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de-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28-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de-abril-de-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2023-480192247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มิ.ย. 66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6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สหราชอาณาจักร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G/TBT/N/GBR/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54/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พฤษภาคม 2566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</w:tc>
        <w:tc>
          <w:tcPr>
            <w:tcW w:w="4820" w:type="dxa"/>
          </w:tcPr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ประกาศบังคับใช้มติเพื่อยกเลิกการอนุญาตการให้ใช้สารกำจัดศัตรูพืชที่มีสารออกฤทธิ์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Alpha-Cypermethrin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ในวันที่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เม.ย.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66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ระยะเวลาผ่อนผันตาม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Art. 21 (7)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ของกฎระเบียบ </w:t>
            </w:r>
          </w:p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โฆษณา การขาย และการจัดหาผลิตภัณฑ์แต่ละรายการได้รับอนุญาตถึงวันที่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ต.ค.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66 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อนุญาตให้จัดเก็บ กำจัด และใช้งานถึงวันที่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6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ต.ค.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67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https://members.wto.org/crnattachments/2023/TBT/GBR/final_measure/23_9353_00_e.pdf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7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กานา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G/TBT/N/GHA/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49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พฤษภาคม 2566</w:t>
            </w:r>
          </w:p>
          <w:p w:rsidR="004B2CD2" w:rsidRPr="00442214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ผู้ประกอบการเพาะปลูกโกโก้</w:t>
            </w:r>
          </w:p>
        </w:tc>
        <w:tc>
          <w:tcPr>
            <w:tcW w:w="4820" w:type="dxa"/>
          </w:tcPr>
          <w:p w:rsidR="004B2CD2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จัดทำร่างกฎระเบียบ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DGS IG 1:2023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ว่าด้วยแนวทางการนำมาตรฐาน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GS ARS 1000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ส่วนที่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เรื่องข้อกำหนดการดำเนินการและจัดการของผู้ประกอบการเพาะปลูกโกโก้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TBT/GHA/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9346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30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8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กานา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G/TBT/N/GHA/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50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พฤษภาคม 2566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โกโก้</w:t>
            </w:r>
          </w:p>
        </w:tc>
        <w:tc>
          <w:tcPr>
            <w:tcW w:w="4820" w:type="dxa"/>
          </w:tcPr>
          <w:p w:rsidR="004B2CD2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แนวทางในการจัดตั้งและดำเนินการระบบการจัดการการทำไร่โกโก้ที่รับประกันการผลิตเมล็ดโกโก้ที่ยั่งยืนและตรวจสอบย้อนกลับได้ นอกจากนี้ยังให้คำแนะนำแก่หน่วยรับรองและที่เป็นขององค์กรเองในการดำเนินการตามแผนการรับรองและการตรวจสอบระบบการจัดการฟาร์มโกโก้รับรองว่าเป็นไปตามข้อกำหนดด้านกฎระเบียบและคุณภาพอื่น ๆ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TBT/GHA/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9347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30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9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กานา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G/TBT/N/GHA/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51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พฤษภาคม 2566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019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โกโก้</w:t>
            </w:r>
          </w:p>
        </w:tc>
        <w:tc>
          <w:tcPr>
            <w:tcW w:w="4820" w:type="dxa"/>
          </w:tcPr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จัดทำร่างกฎระเบียบ 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DGS IG 3:2023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ว่าด้วยแนวทางการนำมาตรฐาน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GS ARS 1000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ส่วนที่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เรื่องข้อกำหนดการออกใบรับรองผู้ประกอบการผลิตโกโก้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lastRenderedPageBreak/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TBT/GHA/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9348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30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10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ฮอนดูรัส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G/TBT/N/HND/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100/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พฤษภาคม 2566</w:t>
            </w:r>
          </w:p>
          <w:p w:rsidR="004B2CD2" w:rsidRPr="00442214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สินค้าอุปโภคบริโภค</w:t>
            </w:r>
          </w:p>
        </w:tc>
        <w:tc>
          <w:tcPr>
            <w:tcW w:w="4820" w:type="dxa"/>
          </w:tcPr>
          <w:p w:rsidR="004B2CD2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ประกาศเพิ่มระยะเวลาแสดงความคิดเห็นเกี่ยวกับกฎระเบียบเกี่ยวกับองค์กร การทำงานและความรับผิดชอบของ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National Directorate for Sanitary Surveillance and Control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ถึงวันที่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มิ.ย.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66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https://sde.gob.hn/wp-content/uploads/2023/03/17_1_23-REGLAMENTO-DE-VIGILANCIA-Y-FISCALIZACION-.pdf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11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อินโดนีเซีย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G/TBT/N/IDN/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154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พฤษภาคม 2566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อาหารและยา</w:t>
            </w:r>
          </w:p>
        </w:tc>
        <w:tc>
          <w:tcPr>
            <w:tcW w:w="4820" w:type="dxa"/>
          </w:tcPr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จัดทำกฎระเบียบ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FDA Regulation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เลขที่ 27 ประจำปี 2565 ระบุถึงข้อกำหนดด้านการนำเข้าอาหารและยาของอินโดนิเซีย มีสาระสำคัญดังนี้</w:t>
            </w:r>
          </w:p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เพิ่มผู้ดำเนินการด้านคำร้องเพื่อรองรับความต้องการนำเข้า</w:t>
            </w:r>
          </w:p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เพิ่มข้อกำหนดเพิ่มเติมเกี่ยวกับหนังสือแจ้งการนำเข้ายามายังเขตเศรษฐกิจพิเศษ</w:t>
            </w:r>
          </w:p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3.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แก้ไขอายุการเก็บรักษาของยาที่มีวัตถุประสงค์เพื่อการบริจาคเป็น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ปี ก่อนวันหมดอายุ</w:t>
            </w:r>
          </w:p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4.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ปรับปรุงข้อกำหนดเกี่ยวกับการรายงานการนำเข้าโดยผู้ประกอบการ</w:t>
            </w:r>
          </w:p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5.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ปรับปรุงข้อกำหนดเกี่ยวกับการนำเข้าอาหารและยาสำหรับการใช้ส่วนบุคคล</w:t>
            </w:r>
          </w:p>
          <w:p w:rsidR="004B2CD2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6.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เพิ่มเติมรายการยาในรายการยาควบคุมของอินโดนิเซีย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TBT/IDN/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09448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14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ธ.ค.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65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12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อินโดนีเซีย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G/TBT/N/IDN/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156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พฤษภาคม 2566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อาหารและยา</w:t>
            </w:r>
          </w:p>
        </w:tc>
        <w:tc>
          <w:tcPr>
            <w:tcW w:w="4820" w:type="dxa"/>
          </w:tcPr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a.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พระราชกฤษฎีกาเป็นกฎระเบียบที่ใช้บังคับของ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FDA Regulation No.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27 ปี 2565 ว่าด้วยการกำกับดูแลการนำเข้ายาและอาหารเข้าสู่อินโดนีเซีย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b.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รายการยาและอาหารที่ถูกจำกัดการนำเข้าไปยังอินโดนีเซียซึ่งอยู่ภายใต้การดูแลของ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FDA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ผ่านหนังสือแจ้งการนำเข้าผ่านแดนและจดหมายแจ้งการนำเข้าหลังผ่านแดน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TBT/IDN/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09450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14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ธ.ค.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65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13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เกาหลีใต้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G/TBT/N/KOR/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1140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 พฤษภาคม 2566</w:t>
            </w:r>
          </w:p>
          <w:p w:rsidR="004B2CD2" w:rsidRPr="00442214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</w:t>
            </w:r>
          </w:p>
        </w:tc>
        <w:tc>
          <w:tcPr>
            <w:tcW w:w="4820" w:type="dxa"/>
          </w:tcPr>
          <w:p w:rsidR="004B2CD2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การปรับปรุงกฎระเบียบด้านการติดฉลากอาหารเพื่อกำหนดข้อบังคับแสดงข้อมูลปริมาณน้ำตาลไม่ว่าจะมีการเติมน้ำตาลในส่วนประกอบอาหารหรือไม่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TBT/KOR/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09526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7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การติดฉลาก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14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G/TBT/N/NZL/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123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 พฤษภาคม 2566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อาหารทารกและเด็กอ่อน</w:t>
            </w:r>
          </w:p>
        </w:tc>
        <w:tc>
          <w:tcPr>
            <w:tcW w:w="4820" w:type="dxa"/>
          </w:tcPr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จัดทำร่างการปรับปรุงกฎระเบียบด้านมาตรฐานอาหารในส่วนที่เกี่ยวกับอาหารทารกและเด็กอ่อน (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infant formula)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ในประเด็นดังต่อไปนี้</w:t>
            </w:r>
          </w:p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ปรับปรุงมาตรฐานดังกล่าวในส่วน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2.9.1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และข้อกฎหมายที่เกี่ยวข้องใน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Schedule 29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ในส่วนที่เกี่ยวกับข้อกำหนดที่แตกต่างกันไปในแต่ละประเภทย่อยของผลิตภัณฑ์อาหารทารกและเด็กอ่อน</w:t>
            </w:r>
          </w:p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ปรับปรุงข้อกำหนดด้านส่วนประกอบธาตุอาหาร</w:t>
            </w:r>
          </w:p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ปรับปรุงข้อกำหนดด้านการใช้วัตถุเจือปนอาหาร สารปนเปื้อน และการใช้สารช่วยในการแปรรูป (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processing aids)</w:t>
            </w:r>
          </w:p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ปรับปรุงคำจำกัดความของอาหารทากรกและเด็กอ่อนรวมถึงผลิตภัณฑ์ทารกทางการแพทย์ (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infant  formula, follow-on formula and special medical purpose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 xml:space="preserve">products for infants (SMPPi))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และปรับปรุงข้อกำหนดเกี่ยวกับส่วนประกอบธาตุอาหาร ข้อจำกัดด้านการขาย และการติดฉลากให้สอดคล้องกับข้อกำหนดในมาตรฐานด้านอาหารสำหรับทางการแพทย์ (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Standard  2.9.5 -Foods for Special Medial Purpose (FSMP))</w:t>
            </w:r>
          </w:p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ปรับปรุงและเพิ่มข้อกฎหมายด้านความปลอดภัยบนฉลาก (แนวทางการใช้งาน การเก็บรักษา คำเตือนการใช้งาน และข้อกำหนดด้านอายุสำหรับการใช้) รวมถึงข้อกฎหมายด้านข้อมูล และข้อกำหนดด้านฉลากของ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SMPPi</w:t>
            </w:r>
          </w:p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ปรับปรุงข้อกำหนดสำหรับการเติมอาหารใหม่ (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Novel Food)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ในอาหารทากรกและเด็กอ่อน</w:t>
            </w:r>
          </w:p>
          <w:p w:rsidR="004B2CD2" w:rsidRDefault="004B2CD2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กำหนดระยะเวลาเปลี่ยนผ่าน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5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ปีหลังจากการบังคับใช้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https://www.foodstandards.gov.au/code/proposals/Pages/P1028.aspx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1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15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G/TBT/N/NZL/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90/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 พฤษภาคม 2566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เครื่องดื่มแอลกอฮอล์</w:t>
            </w:r>
          </w:p>
        </w:tc>
        <w:tc>
          <w:tcPr>
            <w:tcW w:w="4820" w:type="dxa"/>
          </w:tcPr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ประกาศมาตรฐานอาหารออสเตรเลีย นิวซีแลนด์ (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FSANZ)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ได้อนุมัติการแก้ไขมาตรฐาน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2.7.1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เพื่ออนุญาตให้ใช้เครื่องหมายเตือนการตั้งครรภ์ทางเลือกสำหรับบรรจุภัณฑ์ด้านนอกที่เป็นกระดาษลูกฟูกสำหรับการจำหน่ายปลีก ที่พิมพ์โดยใช้กระบวนการหลังพิมพ์และมีเครื่องดื่มแอลกอฮอล์มากกว่าหนึ่งหน่วย เครื่องหมายเตือนการตั้งครรภ์ทางเลือกมีข้อกำหนดสีเดียว (สีดำ) คอนทราสต์ และขนาดตามที่กำหนดไว้ในมาตรฐาน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2.7.1 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ารสิ้นสุดระยะเวลาการเปลี่ยนแปลงสำหรับบรรจุภัณฑ์อื่นทั้งหมดและภาชนะแต่ละชิ้นเพื่อแสดงฉลากเตือนการตั้งครรภ์อยู่ในวันที่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31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ก.ค.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66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https://www.foodstandards.gov.au/code/applications/Pages/A1256---Colour-of-pregnancy-warning-labels-for-corrugated-cardboard-packaging-.aspx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การติดฉลาก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16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G/TBT/N/NZL/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99/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พฤษภาคม 2566</w:t>
            </w:r>
          </w:p>
          <w:p w:rsidR="004B2CD2" w:rsidRPr="00442214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ผลิตภัณฑ์อินทรีย์</w:t>
            </w:r>
          </w:p>
        </w:tc>
        <w:tc>
          <w:tcPr>
            <w:tcW w:w="4820" w:type="dxa"/>
          </w:tcPr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จัดทำกฎระเบียบว่าด้วยผลิตภัณฑ์อินทรีย์และการผลิตของนิวซีแลนด์ (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Organic Products Bill)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เพื่อจัดทำแนวทางในการดำเนินการควบคุม มีสาระสำคัญดังนี้</w:t>
            </w:r>
          </w:p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กำหนดให้ผู้ผลิตผลิตภัณฑ์อินทรีย์ที่จะกล่าวอ้าง (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Claim)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ผลิตภัณฑ์ตนว่าเป็นอินทรีย์จะต้องได้รับการอนุญาตและปฏิบัติตามข้อกำหนดในกฎระเบียบนี้</w:t>
            </w:r>
          </w:p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ำหนดให้มีการพัฒนากฎระเบียบและมาตรฐานกำหนดายละเอียดเฉพาะในด้านการผลิตและกระบวนการที่เกี่ยวข้องของผลิตภัณฑ์อินทรีย์แต่ละชนิด และหากการจัดทำดังกล่าวยังไม่เสร็จสิ้น กฎระเบียบนี้จะยังไม่มีผลทางกฎหมาย</w:t>
            </w:r>
          </w:p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3.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ะบุข้อกำหนดและขั้นตอนการขึ้นทะเบียนสำหรับสถานประกอบการที่ต้องดำเนินการด้านการตรวจสอบผู้ประกอบการด้านอินทรีย์</w:t>
            </w:r>
          </w:p>
          <w:p w:rsidR="004B2CD2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กฎระเบียบนี้จะมีผลทางกฎหมายใน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ปีหลังจากวันบังคับใช้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https://legislation.govt.nz/act/public/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2023/0014/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latest/LMS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312665.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html?search=qs_act%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40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bill%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40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regulation%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40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deemedreg_organic+products+production+act_resel_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25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_h&amp;p=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&amp;sr=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เม.ย. 66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17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ปานามา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G/TBT/N/PAN/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128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พฤษภาคม 2566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อาหารเสริม</w:t>
            </w:r>
          </w:p>
        </w:tc>
        <w:tc>
          <w:tcPr>
            <w:tcW w:w="4820" w:type="dxa"/>
          </w:tcPr>
          <w:p w:rsidR="004B2CD2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Resolution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ควบคุมการจดทะเบียนกับ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NationalPharmacy and Drugs Directorate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ของวิตามิน อาหารและผลิตภัณฑ์เสริมอาหารที่มีคุณสมบัติในการรักษา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TBT/PAN/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09430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เดือนหลังจากวันบังคับใช้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18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G/TBT/N/THA/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215/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Rev.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 พฤษภาคม 2566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ผลิตภัณฑ์อาหาร</w:t>
            </w:r>
          </w:p>
        </w:tc>
        <w:tc>
          <w:tcPr>
            <w:tcW w:w="4820" w:type="dxa"/>
          </w:tcPr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แก้ไขเพิ่มเติมประกาศ สธ เรื่อง อาหารที่ต้องแสดงฉลาก โภชนาการ และค่าพลังงาน น้ำตาล ไขมัน และโซเดียม แบบ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GDA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สรุป ดังต่อไปนี้ ข้อ 1 ยกเลิกความใน (1) ของข้อ 5 ของประกาศกระทรวงสาธารณสุข ฉบับที่ 394 (พ.ศ.2561) เรื่อง อาหารที่ต้องแสดงฉลากโภชนาการ และค่าพลังงาน น้ำตาล ไขมัน และโซเดียม แบบจีดีเอ ลงวันที่ 26 กันยายน พ.ศ. 2561 และให้ใช้ความต่อไปนี้ แทน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?(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1) แสดงฉลากโภชนาการตามรูปแบบและเงื่อนไขของการแสดงกรอบข้อมูลโภชนาการของ บัญชีหมายเลข 1 ท้ายประกาศ สธ เรื่อง ฉลากโภชนาการ ข้อ 2 การแสดงฉลากโภชนาการของอาหารตามข้อ 3 ของประกาศ สธ. ฉบับที่ 394 (พ.ศ.2561) เรื่อง อาหารที่ต้องแสดงฉลากโภชนาการ และค่าพลังงาน น้ำตาล ไขมัน และโซเดียม แบบจีดีเอ ที่มีอยู่ในวันก่อนวันที่</w:t>
            </w:r>
            <w:r w:rsidRPr="004B2CD2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  <w:cs/>
              </w:rPr>
              <w:t>ประกาศนี้ ใช้บังคับ ยังคงจำหน่ายอาหารนั้นได้แต่ต้องไม่เกิน 3 ปีนับแต่วันที่มีผลบังคับใช้ ข้อ 3 ประกาศนี้ให้ใช้บังคับเมื่อพ้นกำหนด 180 วัน นับแต่วันประกาศในราชกิ</w:t>
            </w:r>
            <w:r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  <w:cs/>
              </w:rPr>
              <w:t>จจานุเบกษา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https://members.wto.org/crnattachments/2023/TBT/THA/final_measure/23_09669_00_e.pdf https://members.wto.org/crnattachments/2023/TBT/THA/final_measure/23_09669_00_x.pdf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-15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180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วัน นับแต่วันประกาศในราชกิจจานุเบกษา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19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แทนซาเนีย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G/TBT/N/TZA/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945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พฤษภาคม 2566</w:t>
            </w:r>
          </w:p>
          <w:p w:rsidR="004B2CD2" w:rsidRPr="00442214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อาหารสัตว์</w:t>
            </w:r>
          </w:p>
        </w:tc>
        <w:tc>
          <w:tcPr>
            <w:tcW w:w="4820" w:type="dxa"/>
          </w:tcPr>
          <w:p w:rsidR="004B2CD2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จัดทำมาตรฐานแทนซาเนีย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AFDC 9 (1530)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เรื่องข้อกำหนดเฉพาะของหินปูนสำหรับอาหารสัตว์ ระบุถึงข้อกำหนด วิธีการสุ่มตัวอย่างและทดสอบสำหรับหินปูนที่ใช้สารเสริมธาตุอาหารในอาหารสัตว์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TBT/TZA/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09431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20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แทนซาเนีย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G/TBT/N/TZA/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946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พฤษภาคม 2566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อาหารสัตว์</w:t>
            </w:r>
          </w:p>
        </w:tc>
        <w:tc>
          <w:tcPr>
            <w:tcW w:w="4820" w:type="dxa"/>
          </w:tcPr>
          <w:p w:rsidR="004B2CD2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จัดทำมาตรฐานแทนซาเนีย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AFDC 9 (1686)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เรื่องข้อกำหนดเฉพาะของสารกลุ่ม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Calcium Phosphate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สำหรับอาหารสัตว์ ระบุถึงข้อกำหนด วิธีการสุ่มตัวอย่างและทดสอบสำหรับสาร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monocalcium phosphate (MCP), monodicalcium phosphate (MDCP), dicalcium  phosphate  (DCP)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tricalcium phosphate (TCP)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ที่ใช้วัตถุเจือปนอาหารในอาหารสัตว์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TBT/TZA/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09432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21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แทนซาเนีย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G/TBT/N/TZA/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947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พฤษภาคม 2566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เมล็ดพันธุ์ส้มรสหวาน (</w:t>
            </w:r>
            <w:r w:rsidRPr="004B2CD2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Citrus sinensis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จัดทำมาตรฐานแทนซาเนีย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AFDC 30 (1917)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 ผลส้มรสหวาน (</w:t>
            </w:r>
            <w:r w:rsidRPr="004B2CD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Citrus sinensis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ระบุข้อกำหนดการรับรองสำหรับเมล็ดพันธุ์ส้มรสหวาน (</w:t>
            </w:r>
            <w:r w:rsidRPr="004B2CD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Citrus sinensis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เบื้องต้นและที่ผ่านการรับรองแล้ว ซึ่งรวมถึงข้อกำหนดสำหรับพันธุ์ที่</w:t>
            </w:r>
            <w:r w:rsidRPr="004B2CD2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>เข้าเกณฑ์การขอใบรับรอง</w:t>
            </w:r>
            <w:r w:rsidRPr="004B2CD2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 xml:space="preserve">, </w:t>
            </w:r>
            <w:r w:rsidRPr="004B2CD2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>พื้นที่</w:t>
            </w:r>
            <w:r w:rsidRPr="004B2CD2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 xml:space="preserve">, </w:t>
            </w:r>
            <w:r w:rsidRPr="004B2CD2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>การตรวจสอบพื้นที่</w:t>
            </w:r>
            <w:r w:rsidRPr="004B2CD2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 xml:space="preserve">, </w:t>
            </w:r>
            <w:r w:rsidRPr="004B2CD2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>การสุ่มตัวอย่างเมล็ดพันธุ์</w:t>
            </w:r>
            <w:r w:rsidRPr="004B2CD2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 xml:space="preserve">, </w:t>
            </w:r>
            <w:r w:rsidRPr="004B2CD2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>การทดสอบในห้องปฏิบัติการ</w:t>
            </w:r>
            <w:r w:rsidRPr="004B2CD2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 xml:space="preserve">, </w:t>
            </w:r>
            <w:r w:rsidRPr="004B2CD2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>ใบรับรอง</w:t>
            </w:r>
            <w:r w:rsidRPr="004B2CD2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 xml:space="preserve">, </w:t>
            </w:r>
            <w:r w:rsidRPr="004B2CD2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>บรรจุภัณฑ์</w:t>
            </w:r>
            <w:r w:rsidRPr="004B2CD2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 xml:space="preserve">, </w:t>
            </w:r>
            <w:r w:rsidRPr="004B2CD2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 xml:space="preserve">การติดฉลาก และ </w:t>
            </w:r>
            <w:r w:rsidRPr="004B2CD2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>post-control plot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https://members.wto.org/crnattachments/2023/TBT/TZA/23_09433_00_e.pdf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22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แทนซาเนีย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G/TBT/N/TZA/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948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พฤษภาคม 2566</w:t>
            </w:r>
          </w:p>
          <w:p w:rsidR="004B2CD2" w:rsidRPr="00442214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เมล็ดพันธุ์งา</w:t>
            </w:r>
          </w:p>
        </w:tc>
        <w:tc>
          <w:tcPr>
            <w:tcW w:w="4820" w:type="dxa"/>
          </w:tcPr>
          <w:p w:rsidR="004B2CD2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จัดทำมาตรฐานแทนซาเนีย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AFDC 10 (1916)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เรื่องข้อกำหนดสำหรับการขึ้นทะเบียนเมล็ดพันธุ์งา (</w:t>
            </w:r>
            <w:r w:rsidRPr="004B2CD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Sesamum indicum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ระบุถึงข้อกำหนดในการขึ้นทะเบียนเล็ดพันธุ์งา ทั้งเมล็ดพันธุ์สำหรับการค้า (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certified seed)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เมล็ดหัวพันธุ์ (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Pre basic)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เมล็ดพันธุ์หลัก (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Basic)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ของพืชดังกล่าว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TBT/TZA/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09434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23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แทนซาเนีย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G/TBT/N/TZA/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949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พฤษภาคม 2566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อาหารสััตว์</w:t>
            </w:r>
          </w:p>
        </w:tc>
        <w:tc>
          <w:tcPr>
            <w:tcW w:w="4820" w:type="dxa"/>
          </w:tcPr>
          <w:p w:rsidR="004B2CD2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จัดทำมาตรฐานแทนซาเนีย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AFDC 9 (1687)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 เลือดป่น (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blood meal)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กำหนดข้อกำหนด วิธีการสุ่มตัวอย่าง และวิธีการทดสอบเลือดป่น (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Blood meal)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ที่เป็นแหล่งโปรตีนในอาหารสัตว์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TBT/TZA/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09435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24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แทนซาเนีย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G/TBT/N/TZA/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950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พฤษภาคม 2566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เมล็ดพันธุ์ถั่วหรั่ง (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Bambara nut)</w:t>
            </w:r>
          </w:p>
        </w:tc>
        <w:tc>
          <w:tcPr>
            <w:tcW w:w="4820" w:type="dxa"/>
          </w:tcPr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จัดทำมาตรฐานแทนซาเนีย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AFDC 10 (1915)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เรื่องข้อกำหนดสำหรับการขึ้นทะเบียนเมล็ดพันธุ์ถั่วหรั่ง (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Bambara nut) (</w:t>
            </w:r>
            <w:r w:rsidRPr="004B2CD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Vigna subterranea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ระบุถึงข้อกำหนดในการขึ้นทะเบียนเล็ดพันธุ์งา ทั้งเมล็ดพันธุ์สำหรับการค้า (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certified seed)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เมล็ดหัวพันธุ์ (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Pre basic)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เมล็ดพันธุ์หลัก (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Basic)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ของพืชดังกล่าว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TBT/TZA/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09436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25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แทนซาเนีย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G/TBT/N/TZA/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951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พฤษภาคม 2566</w:t>
            </w:r>
          </w:p>
          <w:p w:rsidR="004B2CD2" w:rsidRPr="00442214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2CD2" w:rsidRPr="00EB40EB" w:rsidRDefault="004B2CD2" w:rsidP="004B2CD2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ถั่วแระ (</w:t>
            </w:r>
            <w:r w:rsidRPr="004B2CD2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Cajanus cajan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จำทำมาตรฐานแทนซาเนีย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AFDC 30 (1914)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 ระบุข้อกำหนดการรับรองสำหรับเมล็ดพันธุ์หลัก (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pre-basic seed)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เมล็ดพันธุ์ชั้นพันธุ์หลัก (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basic seed)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เมล็ดพันธุ์จำหน่าย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Certified Seed)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สำหรับถั่วแระ (</w:t>
            </w:r>
            <w:r w:rsidRPr="004B2CD2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Cajanus cajan</w:t>
            </w:r>
            <w:r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)</w:t>
            </w:r>
            <w:r w:rsidRPr="004B2CD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 xml:space="preserve"> </w:t>
            </w: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https://members.wto.org/crnattachments/2023/TBT/TZA/23_09437_00_e.pdf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26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แทนซาเนีย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G/TBT/N/TZA/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952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พฤษภาคม 2566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เมล็ดพันธุ์ถั่วพุ่ม (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Cowpea)</w:t>
            </w:r>
          </w:p>
        </w:tc>
        <w:tc>
          <w:tcPr>
            <w:tcW w:w="4820" w:type="dxa"/>
          </w:tcPr>
          <w:p w:rsidR="004B2CD2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จัดทำมาตรฐานแทนซาเนีย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AFDC 10 (1913)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เรื่องข้อกำหนดสำหรับการขึ้นทะเบียนเมล็ดพันธุ์ถั่วพุ่ม (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Cowpea) (</w:t>
            </w:r>
            <w:r w:rsidRPr="004B2CD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Vigna unguiculata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ระบุถึงข้อกำหนดในการขึ้นทะเบียนเล็ดพันธุ์งา ทั้งเมล็ดพันธุ์สำหรับการค้า (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certified seed)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เมล็ดหัวพันธุ์ (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Pre basic)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เมล็ดพันธุ์หลัก (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Basic)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ของพืชดังกล่าว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lastRenderedPageBreak/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TBT/TZA/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09438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3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27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แทนซาเนีย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G/TBT/N/TZA/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953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พฤษภาคม 2566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อาหารสุกรกึ่งสำร็จรูป (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Pig feed premixes)</w:t>
            </w:r>
          </w:p>
        </w:tc>
        <w:tc>
          <w:tcPr>
            <w:tcW w:w="4820" w:type="dxa"/>
          </w:tcPr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จัดทำมาตรฐานแทนซาเนีย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AFDC 9 (1688)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เรื่องข้อกำหนดเฉพาะของอาหารสุกรกึ่งสำร็จรูป (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Pig feed premixes)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ระบุถึงข้อกำหนด วิธีการสุ่มตัวอย่างและทดสอบสำหรับผลิตภัณฑ์ดังกล่าว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TBT/TZA/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09439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28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แทนซาเนีย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G/TBT/N/TZA/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954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พฤษภาคม 2566</w:t>
            </w:r>
          </w:p>
          <w:p w:rsidR="004B2CD2" w:rsidRPr="00442214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อาหารฮาลาล</w:t>
            </w:r>
          </w:p>
        </w:tc>
        <w:tc>
          <w:tcPr>
            <w:tcW w:w="4820" w:type="dxa"/>
          </w:tcPr>
          <w:p w:rsidR="004B2CD2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จัดทำมาตรฐานแทนซาเนีย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AFDC 1 (1867)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เรื่องข้อกำหนดทั่วไปของอาหารฮาลาล ระบุถึงข้อกำหนดทั่วไปของอุตสาหกรรมอาหารฮาลาล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TBT/TZA/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09451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29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แทนซาเนีย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G/TBT/N/TZA/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955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พฤษภาคม 2566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แป้งอัลมอน</w:t>
            </w:r>
          </w:p>
        </w:tc>
        <w:tc>
          <w:tcPr>
            <w:tcW w:w="4820" w:type="dxa"/>
          </w:tcPr>
          <w:p w:rsidR="004B2CD2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จัดทำมาตรฐานแทนซาเนีย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AFDC 19 (1706)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เรื่องข้อกำหนดเฉพาะของแป้งอัลมอน ระบุถึงข้อกำหนด วิธีการสุ่มตัวอย่างและทดสอบสำหรับผลิตภัณฑ์ดังกล่าวสำหรับการบริโภคของมนุษย์ ที่ผลิตจากอัลมอน (</w:t>
            </w:r>
            <w:r w:rsidRPr="004B2CD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Prunus amygdalus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)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https://members.wto.org/crnattachments/2023/TBT/TZA/23_09452_00_e.pdf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30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แทนซาเนีย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G/TBT/N/TZA/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95/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Rev.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 พฤษภาคม 2566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เค้ก</w:t>
            </w:r>
          </w:p>
        </w:tc>
        <w:tc>
          <w:tcPr>
            <w:tcW w:w="4820" w:type="dxa"/>
          </w:tcPr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จัดทำมาตรฐานแทนซาเนีย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AFDC 15(5064)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 เค้ก กำหนดข้อกำหนด วิธีการสุ่มตัวอย่าง และวิธีการทดสอบเค้กสำหรับการบริโภคของมนุษย์โดยตรง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TBT/TZA/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09531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7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31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แทนซาเนีย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G/TBT/N/TZA/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963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พฤษภาคม 2566</w:t>
            </w:r>
          </w:p>
          <w:p w:rsidR="004B2CD2" w:rsidRPr="00442214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เม็ดฮาเซลนัต</w:t>
            </w:r>
          </w:p>
        </w:tc>
        <w:tc>
          <w:tcPr>
            <w:tcW w:w="4820" w:type="dxa"/>
          </w:tcPr>
          <w:p w:rsidR="004B2CD2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จัดทำมาตรฐานแทนซาเนีย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AFDC 19 (1716)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เรื่องข้อกำหนดเฉพาะของฮาเซลนัตเม็ดสดและเม็ดคั่วอบ ระบุถึงข้อกำหนด วิธีการสุ่มตัวอย่างและทดสอบสำหรับผลิตภัณฑ์ดังกล่าวสำหรับการบริโภคของมนุษย์ ที่ผลิตจากฮาเซลนัต (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Corylus avellana)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https://members.wto.org/crnattachments/2023/TBT/TZA/23_09460_00_e.pdf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32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แทนซาเนีย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G/TBT/N/TZA/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964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พฤษภาคม 2566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เม็ดบราซิลนัต</w:t>
            </w:r>
          </w:p>
        </w:tc>
        <w:tc>
          <w:tcPr>
            <w:tcW w:w="4820" w:type="dxa"/>
          </w:tcPr>
          <w:p w:rsidR="004B2CD2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จัดทำมาตรฐานแทนซาเนีย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AFDC 19 (1716)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เรื่องข้อกำหนดเฉพาะของเม็ดสดของบราซิลนัต ระบุถึงข้อกำหนด วิธีการสุ่มตัวอย่างและทดสอบสำหรับผลิตภัณฑ์ดังกล่าวสำหรับการบริโภคของมนุษย์ ที่ผลิตจากเม็ดบราซิลนัต (</w:t>
            </w:r>
            <w:r w:rsidRPr="004B2CD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Bertholletia excelsa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)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https://members.wto.org/crnattachments/2023/TBT/TZA/23_09461_00_e.pdf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33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แทนซาเนีย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G/TBT/N/TZA/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97/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Rev.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 พฤษภาคม 2566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คุ๊กกี้</w:t>
            </w:r>
          </w:p>
        </w:tc>
        <w:tc>
          <w:tcPr>
            <w:tcW w:w="4820" w:type="dxa"/>
          </w:tcPr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จัดทำมาตรฐานยูกันดา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AFDC 15 (5066) P3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เรื่องข้อกำหนดเฉพาะของคุ๊กกี้ ระบุถึงข้อกำหนด วิธีการสุ่มตัวอย่างและการทสอบผลิตภัณฑ์ดังกล่าวเพื่อการบริโภคโดยตรง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TBT/TZA/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09532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7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34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ยูเครน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G/TBT/N/UKR/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186/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Rev.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พฤษภาคม 2566</w:t>
            </w:r>
          </w:p>
          <w:p w:rsidR="004B2CD2" w:rsidRPr="00442214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การปลูกองุ่น และการผลิตไวน์</w:t>
            </w:r>
          </w:p>
        </w:tc>
        <w:tc>
          <w:tcPr>
            <w:tcW w:w="4820" w:type="dxa"/>
          </w:tcPr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จัดทำร่างกฎหมายกำหนดดังต่อไปนี้</w:t>
            </w:r>
          </w:p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เพื่่อเสนอข้อกำหนดและคำจำกัดความ การจำแนกพันธุ์องุ่น และข้อกำหนดสำหรับการผลิตองุ่นและผลิตภัณฑ์สำหรับทำไวน์ ผลิตภัณฑ์ไวน์ปรุงแต่ง ตลอดจนข้อปฏิบัติและ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ข้อจำกัดทางวิทยาศาตร์บางประการที่สอดคล้องกับข้อกำหนดที่นำมาใช้ในประเทศในสหภาพยุโรป </w:t>
            </w:r>
          </w:p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เพื่อแนะนำข้อกำหนดสำหรับการผลิตและการจำหน่ายไวน์ การปลูกองุ่นและผลิตภัณฑ์การผลิตไวน์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ผลิตภัณฑ์ไวน์ปรุงแต่งที่มีข้อบ่งชี้ทางภูมิศาสตร์คล้ายกับกฎระเบียบปัจจุบันในสหภาพยุโรป</w:t>
            </w:r>
          </w:p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เพื่อกำหนดกลไกการคุ้มครองสิ่งบ่งชี้ทางภูมิศาสตร์ในยูเครน</w:t>
            </w:r>
          </w:p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เพื่อแนะนำข้อกำหนดและคำจำกัดความใหม่ตามประเภทของกฎระเบียบสหภาพยุโรป</w:t>
            </w:r>
          </w:p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เพื่อสร้างระบบข้อมูลสถานะแบบครบวงจร "การขึ้นทะเบียนการปลูกองุ่นและการผลิตไวน์"</w:t>
            </w:r>
          </w:p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จัดเตรียมความเป็นไปได้ที่จะได้รับการสนับสนุนจากภาครัฐสำหรับการปลูกองุ่นและการผลิตไวน์</w:t>
            </w:r>
          </w:p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ใช้กฎระเบียบการติดฉลากและการนำเสนอผลิตภัณฑ์ไวน์</w:t>
            </w:r>
          </w:p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เพื่อกำหนดหลักการสำหรับการตรวจสอบการผลิตผลิตภัณฑ์ไวน์จากไร่องุ่นจนถึงผลิตภัณฑ์ขั้นสุดท้าย เพื่อกำหนดสถาบันควบคุมและอำนาจ เพื่อกำหนดบทลงโทษสำหรับการละเมิดข้อกำหนดที่กฎหมายกำหนด</w:t>
            </w:r>
          </w:p>
          <w:p w:rsidR="004B2CD2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ร่างกฎระเบียบนี้ได้ประกาศใน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https://members.wto.org/crnattachments/2023/TBT/UKR/23_09414_01_x.pdf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3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ม.ค.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69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การติดฉลาก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35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ยูเครน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G/TBT/N/UKR/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204/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Rev.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 พฤษภาคม 2566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ฮ็อพ (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Hops)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และผลิตภัณฑ์ฮ็อพ</w:t>
            </w:r>
          </w:p>
        </w:tc>
        <w:tc>
          <w:tcPr>
            <w:tcW w:w="4820" w:type="dxa"/>
          </w:tcPr>
          <w:p w:rsidR="004B2CD2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จัดทำร่างกฎระเบียบของฮ็อพ (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Hops)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และผลิตภัณฑ์ฮ็อพในตลาด ข้อกำหนดสำหรับการผลิต การแปรรูป การติดฉลาก และ</w:t>
            </w:r>
            <w:r w:rsidRPr="004B2CD2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  <w:cs/>
              </w:rPr>
              <w:t>การรับรอง รวมถึงหน้าที่และสิทธิ์ของผู้ประกอบการในอุตสาหกรรมและเจ้าหน้าที่รัฐในด้านอุตสาหกรรมฮ็อพ (</w:t>
            </w:r>
            <w:r w:rsidRPr="004B2CD2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</w:rPr>
              <w:t>Hops)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https://members.wto.org/crnattachments/2023/TBT/UKR/23_09501_00_x.pdf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4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36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ยูเครน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G/TBT/N/UKR/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245/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พฤษภาคม 2566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ผลิตภัณฑ์ที่ผลิตจากทรัพยากรชีวภาพทางน้ำ</w:t>
            </w:r>
          </w:p>
        </w:tc>
        <w:tc>
          <w:tcPr>
            <w:tcW w:w="4820" w:type="dxa"/>
          </w:tcPr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ประกาศแก้ไข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Chapter VIII "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การตรวจสอบย้อนกลับในการดำเนินการส่งออก/นำเข้าและของส่งกลับ" ของร่างกฎหมาย โดย ในบทร่างเงื่อนไขสำหรับการขอใบรับรองการจับและของส่งกลับ ตลอดจนเอกสารเกี่ยวกับการประมวลผลทรัพยากรชีวภาพทางน้ำที่ตรวจสอบย้อนกลับได้ และ/หรือผลิตภัณฑ์จากแหล่งดังกล่าว ซึ่งจำเป็นสำหรับพิธีการทางศุลกากรของทรัพยากรชีวภาพทางน้ำที่ตรวจสอบย้อนกลับได้ และ/หรือ ผลิตภัณฑ์จากแหล่งดังกล่าว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TBT/UKR/modification/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09412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30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37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ยูเครน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G/TBT/N/UKR/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254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 พฤษภาคม 2566</w:t>
            </w:r>
          </w:p>
          <w:p w:rsidR="004B2CD2" w:rsidRPr="00442214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สินค้าประมง</w:t>
            </w:r>
          </w:p>
        </w:tc>
        <w:tc>
          <w:tcPr>
            <w:tcW w:w="4820" w:type="dxa"/>
          </w:tcPr>
          <w:p w:rsidR="004B2CD2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หมายยูเครนว่าด้วยข้อกำหนดความโปร่งใสในการจัดทำข้อตกลงพิเศษสำหรับใช้ทรัพยากรณ์สัตว์น้ำเฉพาะ เพื่อลดภาระในการดำเนินงานของธุรกิจ และลดขั้นตอนในการขอใช้พื้นที่น้ำสำหรับการประมง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TBT/UKR/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09493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28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38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ยูเครน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G/TBT/N/UKR/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255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 พฤษภาคม 2566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การฟักไข่และลูกไก่</w:t>
            </w:r>
          </w:p>
        </w:tc>
        <w:tc>
          <w:tcPr>
            <w:tcW w:w="4820" w:type="dxa"/>
          </w:tcPr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จัดทำร่างกฎระเบียบของยูเครนว่าด้วยข้อกำหนดของไข่ฟักและลูกไก่ ในประเด็นดังนี้</w:t>
            </w:r>
          </w:p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ข้อกำหนดการปั้มตราและข้อมูลไข่ฟัก</w:t>
            </w:r>
          </w:p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ข้อกำหนดบรรจุภัณฑ์ไข่ฟัก และบรรจุภัณฑ์สำหรับขนส่งลูกไก่</w:t>
            </w:r>
          </w:p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3.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ข้อกำหนดการติดฉลากบรรจุภัณฑ์ไข่ฟัก และบรรจุภัณฑ์สำหรับขนส่งลูกไก่</w:t>
            </w:r>
          </w:p>
          <w:p w:rsidR="004B2CD2" w:rsidRPr="00A527FF" w:rsidRDefault="004B2CD2" w:rsidP="00084E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4.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ข้อกำหนดด้านข้อมูลที่ต้อจัดเก็บโดยผู้ประกอบการ</w:t>
            </w:r>
          </w:p>
          <w:p w:rsidR="004B2CD2" w:rsidRDefault="004B2CD2" w:rsidP="00BF4721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ทั้งนี้ผลิตภัณฑ์ดังกล่าวที่นำเข้ามาจากต่างประเทศจะต้องดำเนินการตามข้อกำหนดในกฎระเบียบของยูเครนว่าด้วยการนำเข้าสัตว์มีชีวิต และวัสดุขยายพันธุ์สัตว์ที่ปรากฎใน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Order  of  the Ministry of Agrarian Policy and Food of Ukraine No. 553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ลงวันที่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16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พ.ย. 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61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ด้วย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https://members.wto.org/crnattachments/2023/TBT/UKR/23_09496_00_x.pdf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4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39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ยูเครน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G/TBT/N/UKR/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256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 พฤษภาคม 2566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สารออกฤทธิ์ชีวภาพ</w:t>
            </w:r>
          </w:p>
        </w:tc>
        <w:tc>
          <w:tcPr>
            <w:tcW w:w="4820" w:type="dxa"/>
          </w:tcPr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จัดทำร่างกฎหมายว่าด้วยเรื่องความปลอดภัยชีวภาพและการป้องกันทางชีวภาพ ระบุถึงแนวทางสำหรับการกำหนดคำจำกัดความในคำที่เกี่ยวข้อง เช่น ความปลอดภัยชีวภาพ กิจกรรมทางด้านชีวสังเคราะห์ (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biosynthetic  activity)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ความอันตรายทางชีวาพ (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biological  hazard)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การป้องกันทางชีภาพ ความเสี่ยงชีวภาพ ความเป็นพิษชีวาพ หน่อยงานที่กำกับดูแลการจำหน่ายสารออกฤทธิ์ชีวภาพ หน่วยงานที่กำหนดการอนุญาตด้านความปลอดภัยสารออกฤทธิ์ชีวภาพ และกฎหมายที่เกี่ยวข้อง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https://members.wto.org/crnattachments/2023/TBT/UKR/23_09497_00_x.pdf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4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4B2CD2" w:rsidRPr="00EB40EB" w:rsidTr="00BF4721">
        <w:trPr>
          <w:trHeight w:val="340"/>
          <w:jc w:val="center"/>
        </w:trPr>
        <w:tc>
          <w:tcPr>
            <w:tcW w:w="739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40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อุรุกวัย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G/TBT/N/URY/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75</w:t>
            </w:r>
          </w:p>
          <w:p w:rsidR="004B2CD2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มีนาคม 2566</w:t>
            </w:r>
          </w:p>
          <w:p w:rsidR="004B2CD2" w:rsidRPr="00442214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2CD2" w:rsidRPr="00EB40EB" w:rsidRDefault="004B2CD2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</w:tc>
        <w:tc>
          <w:tcPr>
            <w:tcW w:w="4820" w:type="dxa"/>
          </w:tcPr>
          <w:p w:rsidR="004B2CD2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จัดทำร่างกฎระเบียบระบุถึงการห้ามการนำเข้า การขอนุญาต และการต่อการให้อนุญาตผลิตภัณฑ์ด้านสุขอนามัยพืชที่มีส่วนประกอบของสารออกฤทธิ์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carbofuran, methyl parathion, trichlorfon, dichlorvos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cyhexatin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4B2CD2" w:rsidRPr="00EB40EB" w:rsidRDefault="004B2CD2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527F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https://members.wto.org/crnattachments/2023/TBT/URY/23_2133_00_s.pdf</w:t>
            </w:r>
          </w:p>
        </w:tc>
        <w:tc>
          <w:tcPr>
            <w:tcW w:w="1666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22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2CD2" w:rsidRPr="00EB40EB" w:rsidRDefault="004B2CD2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527F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</w:tbl>
    <w:p w:rsidR="004B2CD2" w:rsidRDefault="004B2CD2" w:rsidP="00AF08F6">
      <w:pPr>
        <w:spacing w:before="120"/>
        <w:rPr>
          <w:rFonts w:ascii="TH Baijam" w:hAnsi="TH Baijam" w:cs="TH Baijam"/>
          <w:b/>
          <w:bCs/>
          <w:color w:val="000000"/>
          <w:sz w:val="28"/>
          <w:szCs w:val="28"/>
        </w:rPr>
      </w:pPr>
    </w:p>
    <w:p w:rsidR="004B2CD2" w:rsidRPr="00EB40EB" w:rsidRDefault="004B2CD2" w:rsidP="00AF08F6">
      <w:pPr>
        <w:spacing w:before="120"/>
        <w:rPr>
          <w:rFonts w:ascii="TH Baijam" w:hAnsi="TH Baijam" w:cs="TH Baijam"/>
          <w:color w:val="000000"/>
          <w:sz w:val="28"/>
          <w:szCs w:val="28"/>
        </w:rPr>
      </w:pPr>
      <w:bookmarkStart w:id="0" w:name="_GoBack"/>
      <w:bookmarkEnd w:id="0"/>
      <w:r w:rsidRPr="00EB40EB">
        <w:rPr>
          <w:rFonts w:ascii="TH Baijam" w:hAnsi="TH Baijam" w:cs="TH Baijam"/>
          <w:b/>
          <w:bCs/>
          <w:color w:val="000000"/>
          <w:sz w:val="28"/>
          <w:szCs w:val="28"/>
          <w:cs/>
        </w:rPr>
        <w:lastRenderedPageBreak/>
        <w:t>หมายเหตุ</w:t>
      </w:r>
      <w:r w:rsidRPr="00EB40EB">
        <w:rPr>
          <w:rFonts w:ascii="TH Baijam" w:hAnsi="TH Baijam" w:cs="TH Baijam"/>
          <w:color w:val="000000"/>
          <w:sz w:val="28"/>
          <w:szCs w:val="28"/>
        </w:rPr>
        <w:t xml:space="preserve">: </w:t>
      </w:r>
      <w:r w:rsidRPr="00EB40EB">
        <w:rPr>
          <w:rFonts w:ascii="TH Baijam" w:hAnsi="TH Baijam" w:cs="TH Baijam"/>
          <w:color w:val="000000"/>
          <w:sz w:val="28"/>
          <w:szCs w:val="28"/>
          <w:cs/>
        </w:rPr>
        <w:t xml:space="preserve"> * คือ มาตรการที่อาจมีผลกระทบต่อการค้าของไทยกับประเทศคู่ค้า</w:t>
      </w:r>
    </w:p>
    <w:p w:rsidR="004B2CD2" w:rsidRPr="00EB40EB" w:rsidRDefault="004B2CD2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EB40EB">
        <w:rPr>
          <w:rFonts w:ascii="TH Baijam" w:hAnsi="TH Baijam" w:cs="TH Baijam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8B5F87" wp14:editId="2D707755">
            <wp:simplePos x="0" y="0"/>
            <wp:positionH relativeFrom="column">
              <wp:posOffset>8820150</wp:posOffset>
            </wp:positionH>
            <wp:positionV relativeFrom="paragraph">
              <wp:posOffset>10795</wp:posOffset>
            </wp:positionV>
            <wp:extent cx="838200" cy="838200"/>
            <wp:effectExtent l="0" t="0" r="0" b="0"/>
            <wp:wrapSquare wrapText="bothSides"/>
            <wp:docPr id="5" name="Picture 5" descr="request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quest tex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0EB">
        <w:rPr>
          <w:rFonts w:ascii="TH Baijam" w:hAnsi="TH Baijam" w:cs="TH Baijam"/>
          <w:color w:val="000000"/>
          <w:sz w:val="28"/>
          <w:szCs w:val="28"/>
          <w:cs/>
        </w:rPr>
        <w:t>สามารถแจ้งข้อคิดเห็นให้ มกอช. ทราบล่วงหน้าก่อนสิ้นสุดระยะเวลาของการแสดงความเห็นผ่านทาง</w:t>
      </w:r>
      <w:r w:rsidRPr="00EB40EB">
        <w:rPr>
          <w:rFonts w:ascii="TH Baijam" w:hAnsi="TH Baijam" w:cs="TH Baijam"/>
          <w:color w:val="000000"/>
          <w:sz w:val="28"/>
          <w:szCs w:val="28"/>
        </w:rPr>
        <w:t xml:space="preserve"> Email: spsthailand@gmail.com   </w:t>
      </w:r>
    </w:p>
    <w:p w:rsidR="004B2CD2" w:rsidRPr="00EB40EB" w:rsidRDefault="004B2CD2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EB40EB">
        <w:rPr>
          <w:rFonts w:ascii="TH Baijam" w:hAnsi="TH Baijam" w:cs="TH Baijam"/>
          <w:color w:val="000000"/>
          <w:sz w:val="28"/>
          <w:szCs w:val="28"/>
          <w:cs/>
        </w:rPr>
        <w:t>รายละเอียดเพิ่มเติม</w:t>
      </w:r>
      <w:r w:rsidRPr="00EB40EB">
        <w:rPr>
          <w:rFonts w:ascii="TH Baijam" w:hAnsi="TH Baijam" w:cs="TH Baijam"/>
          <w:color w:val="000000"/>
          <w:sz w:val="28"/>
          <w:szCs w:val="28"/>
        </w:rPr>
        <w:t xml:space="preserve"> </w:t>
      </w:r>
      <w:hyperlink r:id="rId9" w:history="1">
        <w:r w:rsidRPr="00EF4E94">
          <w:rPr>
            <w:rStyle w:val="Hyperlink"/>
            <w:rFonts w:ascii="TH Baijam" w:hAnsi="TH Baijam" w:cs="TH Baijam"/>
            <w:color w:val="000000"/>
            <w:sz w:val="28"/>
            <w:szCs w:val="28"/>
            <w:u w:val="none"/>
          </w:rPr>
          <w:t>http://docsonline.wto.org</w:t>
        </w:r>
      </w:hyperlink>
      <w:r w:rsidRPr="00EF4E94">
        <w:rPr>
          <w:rFonts w:ascii="TH Baijam" w:hAnsi="TH Baijam" w:cs="TH Baijam"/>
          <w:color w:val="000000"/>
          <w:sz w:val="28"/>
          <w:szCs w:val="28"/>
        </w:rPr>
        <w:t>/</w:t>
      </w:r>
      <w:r>
        <w:rPr>
          <w:rFonts w:ascii="TH Baijam" w:hAnsi="TH Baijam" w:cs="TH Baijam"/>
          <w:color w:val="000000"/>
          <w:sz w:val="28"/>
          <w:szCs w:val="28"/>
        </w:rPr>
        <w:t xml:space="preserve"> </w:t>
      </w:r>
      <w:r w:rsidRPr="00EB40EB">
        <w:rPr>
          <w:rFonts w:ascii="TH Baijam" w:hAnsi="TH Baijam" w:cs="TH Baijam"/>
          <w:color w:val="000000"/>
          <w:sz w:val="28"/>
          <w:szCs w:val="28"/>
          <w:cs/>
        </w:rPr>
        <w:t>หรือติดต่อกลุ่ม</w:t>
      </w:r>
      <w:r>
        <w:rPr>
          <w:rFonts w:ascii="TH Baijam" w:hAnsi="TH Baijam" w:cs="TH Baijam"/>
          <w:color w:val="000000"/>
          <w:sz w:val="28"/>
          <w:szCs w:val="28"/>
          <w:cs/>
        </w:rPr>
        <w:t>ความตกลงสุขอนามัยและสุขอนามัยพืชและอื่นๆ</w:t>
      </w:r>
      <w:r w:rsidRPr="00EB40EB">
        <w:rPr>
          <w:rFonts w:ascii="TH Baijam" w:hAnsi="TH Baijam" w:cs="TH Baijam"/>
          <w:color w:val="000000"/>
          <w:sz w:val="28"/>
          <w:szCs w:val="28"/>
          <w:cs/>
        </w:rPr>
        <w:t xml:space="preserve"> โทร 02-561-2277 ต่อ 1348</w:t>
      </w:r>
      <w:r w:rsidRPr="00EB40EB">
        <w:rPr>
          <w:rFonts w:ascii="TH Baijam" w:hAnsi="TH Baijam" w:cs="TH Baijam"/>
          <w:color w:val="000000"/>
          <w:sz w:val="28"/>
          <w:szCs w:val="28"/>
        </w:rPr>
        <w:t xml:space="preserve">, 1345  </w:t>
      </w:r>
    </w:p>
    <w:p w:rsidR="004B2CD2" w:rsidRPr="00EF4E94" w:rsidRDefault="004B2CD2" w:rsidP="00EF4E94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EB40EB">
        <w:rPr>
          <w:rFonts w:ascii="TH Baijam" w:hAnsi="TH Baijam" w:cs="TH Baijam"/>
          <w:color w:val="000000"/>
          <w:sz w:val="28"/>
          <w:szCs w:val="28"/>
          <w:cs/>
        </w:rPr>
        <w:t xml:space="preserve">สามารถขอเอกสารกฎระเบียบฉบับเต็มได้ที่  </w:t>
      </w:r>
      <w:r w:rsidRPr="00EB40EB">
        <w:rPr>
          <w:rFonts w:ascii="TH Baijam" w:hAnsi="TH Baijam" w:cs="TH Baijam"/>
          <w:color w:val="000000"/>
          <w:sz w:val="28"/>
          <w:szCs w:val="28"/>
        </w:rPr>
        <w:t>https://goo.gl/forms/DLQjsCNov6YXscUq2</w:t>
      </w:r>
      <w:r>
        <w:rPr>
          <w:rFonts w:ascii="TH Baijam" w:hAnsi="TH Baijam" w:cs="TH Baijam"/>
          <w:color w:val="000000"/>
          <w:sz w:val="28"/>
          <w:szCs w:val="28"/>
        </w:rPr>
        <w:t xml:space="preserve"> </w:t>
      </w:r>
      <w:r w:rsidRPr="00EF4E94">
        <w:rPr>
          <w:rFonts w:ascii="TH Baijam" w:hAnsi="TH Baijam" w:cs="TH Baijam"/>
          <w:color w:val="000000"/>
          <w:sz w:val="28"/>
          <w:szCs w:val="28"/>
          <w:cs/>
        </w:rPr>
        <w:t xml:space="preserve">หรือ </w:t>
      </w:r>
      <w:r w:rsidRPr="00EF4E94">
        <w:rPr>
          <w:rFonts w:ascii="TH Baijam" w:hAnsi="TH Baijam" w:cs="TH Baijam"/>
          <w:color w:val="000000"/>
          <w:sz w:val="28"/>
          <w:szCs w:val="28"/>
        </w:rPr>
        <w:t>QR Code</w:t>
      </w:r>
    </w:p>
    <w:p w:rsidR="004B2CD2" w:rsidRPr="00EB40EB" w:rsidRDefault="004B2CD2" w:rsidP="00AF08F6">
      <w:pPr>
        <w:rPr>
          <w:rFonts w:ascii="TH Baijam" w:hAnsi="TH Baijam" w:cs="TH Baijam"/>
          <w:color w:val="000000"/>
          <w:sz w:val="28"/>
          <w:szCs w:val="28"/>
          <w:cs/>
        </w:rPr>
      </w:pPr>
    </w:p>
    <w:p w:rsidR="004B2CD2" w:rsidRDefault="004B2CD2" w:rsidP="00F06F38">
      <w:pPr>
        <w:ind w:left="357"/>
        <w:rPr>
          <w:rFonts w:ascii="TH Baijam" w:hAnsi="TH Baijam" w:cs="TH Baijam"/>
          <w:color w:val="000000"/>
          <w:sz w:val="28"/>
          <w:szCs w:val="28"/>
        </w:rPr>
        <w:sectPr w:rsidR="004B2CD2" w:rsidSect="004B2CD2">
          <w:footerReference w:type="default" r:id="rId10"/>
          <w:pgSz w:w="16838" w:h="11906" w:orient="landscape" w:code="9"/>
          <w:pgMar w:top="720" w:right="720" w:bottom="720" w:left="720" w:header="709" w:footer="709" w:gutter="0"/>
          <w:pgNumType w:start="1"/>
          <w:cols w:space="720"/>
          <w:docGrid w:linePitch="326"/>
        </w:sectPr>
      </w:pPr>
    </w:p>
    <w:p w:rsidR="004B2CD2" w:rsidRPr="00EB40EB" w:rsidRDefault="004B2CD2" w:rsidP="00F06F38">
      <w:pPr>
        <w:ind w:left="357"/>
        <w:rPr>
          <w:rFonts w:ascii="TH Baijam" w:hAnsi="TH Baijam" w:cs="TH Baijam"/>
          <w:color w:val="000000"/>
          <w:sz w:val="28"/>
          <w:szCs w:val="28"/>
        </w:rPr>
      </w:pPr>
    </w:p>
    <w:sectPr w:rsidR="004B2CD2" w:rsidRPr="00EB40EB" w:rsidSect="004B2CD2">
      <w:footerReference w:type="default" r:id="rId11"/>
      <w:type w:val="continuous"/>
      <w:pgSz w:w="16838" w:h="11906" w:orient="landscape" w:code="9"/>
      <w:pgMar w:top="720" w:right="720" w:bottom="720" w:left="72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4B9" w:rsidRDefault="008974B9">
      <w:r>
        <w:separator/>
      </w:r>
    </w:p>
  </w:endnote>
  <w:endnote w:type="continuationSeparator" w:id="0">
    <w:p w:rsidR="008974B9" w:rsidRDefault="0089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9001131"/>
      <w:docPartObj>
        <w:docPartGallery w:val="Page Numbers (Bottom of Page)"/>
        <w:docPartUnique/>
      </w:docPartObj>
    </w:sdtPr>
    <w:sdtEndPr>
      <w:rPr>
        <w:rFonts w:ascii="TH Baijam" w:hAnsi="TH Baijam" w:cs="TH Baijam"/>
        <w:noProof/>
        <w:sz w:val="28"/>
        <w:szCs w:val="28"/>
      </w:rPr>
    </w:sdtEndPr>
    <w:sdtContent>
      <w:p w:rsidR="004B2CD2" w:rsidRPr="00054A14" w:rsidRDefault="004B2CD2">
        <w:pPr>
          <w:pStyle w:val="Footer"/>
          <w:jc w:val="right"/>
          <w:rPr>
            <w:rFonts w:ascii="TH Baijam" w:hAnsi="TH Baijam" w:cs="TH Baijam"/>
            <w:sz w:val="28"/>
            <w:szCs w:val="28"/>
          </w:rPr>
        </w:pPr>
        <w:r w:rsidRPr="00054A14">
          <w:rPr>
            <w:rFonts w:ascii="TH Baijam" w:hAnsi="TH Baijam" w:cs="TH Baijam"/>
            <w:sz w:val="28"/>
            <w:szCs w:val="28"/>
          </w:rPr>
          <w:fldChar w:fldCharType="begin"/>
        </w:r>
        <w:r w:rsidRPr="00054A14">
          <w:rPr>
            <w:rFonts w:ascii="TH Baijam" w:hAnsi="TH Baijam" w:cs="TH Baijam"/>
            <w:sz w:val="28"/>
            <w:szCs w:val="28"/>
          </w:rPr>
          <w:instrText xml:space="preserve"> PAGE   \* MERGEFORMAT </w:instrText>
        </w:r>
        <w:r w:rsidRPr="00054A14">
          <w:rPr>
            <w:rFonts w:ascii="TH Baijam" w:hAnsi="TH Baijam" w:cs="TH Baijam"/>
            <w:sz w:val="28"/>
            <w:szCs w:val="28"/>
          </w:rPr>
          <w:fldChar w:fldCharType="separate"/>
        </w:r>
        <w:r>
          <w:rPr>
            <w:rFonts w:ascii="TH Baijam" w:hAnsi="TH Baijam" w:cs="TH Baijam"/>
            <w:noProof/>
            <w:sz w:val="28"/>
            <w:szCs w:val="28"/>
          </w:rPr>
          <w:t>16</w:t>
        </w:r>
        <w:r w:rsidRPr="00054A14">
          <w:rPr>
            <w:rFonts w:ascii="TH Baijam" w:hAnsi="TH Baijam" w:cs="TH Baijam"/>
            <w:noProof/>
            <w:sz w:val="28"/>
            <w:szCs w:val="28"/>
          </w:rPr>
          <w:fldChar w:fldCharType="end"/>
        </w:r>
      </w:p>
    </w:sdtContent>
  </w:sdt>
  <w:p w:rsidR="004B2CD2" w:rsidRDefault="004B2C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107768"/>
      <w:docPartObj>
        <w:docPartGallery w:val="Page Numbers (Bottom of Page)"/>
        <w:docPartUnique/>
      </w:docPartObj>
    </w:sdtPr>
    <w:sdtEndPr>
      <w:rPr>
        <w:rFonts w:ascii="TH Baijam" w:hAnsi="TH Baijam" w:cs="TH Baijam"/>
        <w:noProof/>
        <w:sz w:val="28"/>
        <w:szCs w:val="28"/>
      </w:rPr>
    </w:sdtEndPr>
    <w:sdtContent>
      <w:p w:rsidR="00957012" w:rsidRPr="00054A14" w:rsidRDefault="00957012">
        <w:pPr>
          <w:pStyle w:val="Footer"/>
          <w:jc w:val="right"/>
          <w:rPr>
            <w:rFonts w:ascii="TH Baijam" w:hAnsi="TH Baijam" w:cs="TH Baijam"/>
            <w:sz w:val="28"/>
            <w:szCs w:val="28"/>
          </w:rPr>
        </w:pPr>
        <w:r w:rsidRPr="00054A14">
          <w:rPr>
            <w:rFonts w:ascii="TH Baijam" w:hAnsi="TH Baijam" w:cs="TH Baijam"/>
            <w:sz w:val="28"/>
            <w:szCs w:val="28"/>
          </w:rPr>
          <w:fldChar w:fldCharType="begin"/>
        </w:r>
        <w:r w:rsidRPr="00054A14">
          <w:rPr>
            <w:rFonts w:ascii="TH Baijam" w:hAnsi="TH Baijam" w:cs="TH Baijam"/>
            <w:sz w:val="28"/>
            <w:szCs w:val="28"/>
          </w:rPr>
          <w:instrText xml:space="preserve"> PAGE   \* MERGEFORMAT </w:instrText>
        </w:r>
        <w:r w:rsidRPr="00054A14">
          <w:rPr>
            <w:rFonts w:ascii="TH Baijam" w:hAnsi="TH Baijam" w:cs="TH Baijam"/>
            <w:sz w:val="28"/>
            <w:szCs w:val="28"/>
          </w:rPr>
          <w:fldChar w:fldCharType="separate"/>
        </w:r>
        <w:r w:rsidR="004B2CD2">
          <w:rPr>
            <w:rFonts w:ascii="TH Baijam" w:hAnsi="TH Baijam" w:cs="TH Baijam"/>
            <w:noProof/>
            <w:sz w:val="28"/>
            <w:szCs w:val="28"/>
          </w:rPr>
          <w:t>1</w:t>
        </w:r>
        <w:r w:rsidRPr="00054A14">
          <w:rPr>
            <w:rFonts w:ascii="TH Baijam" w:hAnsi="TH Baijam" w:cs="TH Baijam"/>
            <w:noProof/>
            <w:sz w:val="28"/>
            <w:szCs w:val="28"/>
          </w:rPr>
          <w:fldChar w:fldCharType="end"/>
        </w:r>
      </w:p>
    </w:sdtContent>
  </w:sdt>
  <w:p w:rsidR="00957012" w:rsidRDefault="009570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4B9" w:rsidRDefault="008974B9">
      <w:r>
        <w:separator/>
      </w:r>
    </w:p>
  </w:footnote>
  <w:footnote w:type="continuationSeparator" w:id="0">
    <w:p w:rsidR="008974B9" w:rsidRDefault="00897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F7F8A"/>
    <w:multiLevelType w:val="hybridMultilevel"/>
    <w:tmpl w:val="D5B633EE"/>
    <w:lvl w:ilvl="0" w:tplc="CC0A135A">
      <w:numFmt w:val="bullet"/>
      <w:lvlText w:val=""/>
      <w:lvlJc w:val="left"/>
      <w:pPr>
        <w:ind w:left="1648" w:hanging="360"/>
      </w:pPr>
      <w:rPr>
        <w:rFonts w:ascii="Symbol" w:eastAsia="SimSun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>
    <w:nsid w:val="7BA9439A"/>
    <w:multiLevelType w:val="multilevel"/>
    <w:tmpl w:val="470A9E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CB20B76"/>
    <w:multiLevelType w:val="multilevel"/>
    <w:tmpl w:val="E4005D6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EE"/>
    <w:rsid w:val="000273D3"/>
    <w:rsid w:val="00070563"/>
    <w:rsid w:val="00072929"/>
    <w:rsid w:val="00084EF8"/>
    <w:rsid w:val="00085974"/>
    <w:rsid w:val="00091F47"/>
    <w:rsid w:val="000A07AE"/>
    <w:rsid w:val="000D7A34"/>
    <w:rsid w:val="001210DA"/>
    <w:rsid w:val="001230BD"/>
    <w:rsid w:val="00141909"/>
    <w:rsid w:val="001745AE"/>
    <w:rsid w:val="00176E38"/>
    <w:rsid w:val="00176FF5"/>
    <w:rsid w:val="0018496B"/>
    <w:rsid w:val="001B112C"/>
    <w:rsid w:val="001D1B38"/>
    <w:rsid w:val="001D57B4"/>
    <w:rsid w:val="001E32D9"/>
    <w:rsid w:val="00234CB0"/>
    <w:rsid w:val="00240F66"/>
    <w:rsid w:val="00256156"/>
    <w:rsid w:val="00257604"/>
    <w:rsid w:val="00267AAD"/>
    <w:rsid w:val="002956EE"/>
    <w:rsid w:val="002B70B9"/>
    <w:rsid w:val="002D2EEF"/>
    <w:rsid w:val="00305F97"/>
    <w:rsid w:val="00317F24"/>
    <w:rsid w:val="0033078E"/>
    <w:rsid w:val="0039326B"/>
    <w:rsid w:val="003D236E"/>
    <w:rsid w:val="00417721"/>
    <w:rsid w:val="00425BB5"/>
    <w:rsid w:val="00442214"/>
    <w:rsid w:val="00467177"/>
    <w:rsid w:val="004B09C4"/>
    <w:rsid w:val="004B2CD2"/>
    <w:rsid w:val="004E3A30"/>
    <w:rsid w:val="004E71B2"/>
    <w:rsid w:val="004F13E7"/>
    <w:rsid w:val="00507C63"/>
    <w:rsid w:val="005157BB"/>
    <w:rsid w:val="0053436C"/>
    <w:rsid w:val="00545966"/>
    <w:rsid w:val="00575F44"/>
    <w:rsid w:val="00595946"/>
    <w:rsid w:val="005C0666"/>
    <w:rsid w:val="005C07A1"/>
    <w:rsid w:val="005F28A8"/>
    <w:rsid w:val="005F7A18"/>
    <w:rsid w:val="00626142"/>
    <w:rsid w:val="00640765"/>
    <w:rsid w:val="00644C20"/>
    <w:rsid w:val="00662AD0"/>
    <w:rsid w:val="006A0C4E"/>
    <w:rsid w:val="006A7C61"/>
    <w:rsid w:val="006E6193"/>
    <w:rsid w:val="006F5C8B"/>
    <w:rsid w:val="006F6C9F"/>
    <w:rsid w:val="007230CB"/>
    <w:rsid w:val="007647F1"/>
    <w:rsid w:val="007667B5"/>
    <w:rsid w:val="0077478A"/>
    <w:rsid w:val="007C7C2D"/>
    <w:rsid w:val="007F335F"/>
    <w:rsid w:val="00893666"/>
    <w:rsid w:val="0089504E"/>
    <w:rsid w:val="008974B9"/>
    <w:rsid w:val="008C6468"/>
    <w:rsid w:val="008F0017"/>
    <w:rsid w:val="00926147"/>
    <w:rsid w:val="009355F4"/>
    <w:rsid w:val="00957012"/>
    <w:rsid w:val="009669AA"/>
    <w:rsid w:val="009670D6"/>
    <w:rsid w:val="00967CA7"/>
    <w:rsid w:val="0098679E"/>
    <w:rsid w:val="009867A9"/>
    <w:rsid w:val="009B1819"/>
    <w:rsid w:val="009B7F21"/>
    <w:rsid w:val="009F6734"/>
    <w:rsid w:val="009F7188"/>
    <w:rsid w:val="00A17F9E"/>
    <w:rsid w:val="00A36C2B"/>
    <w:rsid w:val="00AA5350"/>
    <w:rsid w:val="00AC3F73"/>
    <w:rsid w:val="00AF08F6"/>
    <w:rsid w:val="00B11873"/>
    <w:rsid w:val="00B11EF9"/>
    <w:rsid w:val="00B17C93"/>
    <w:rsid w:val="00B31E8B"/>
    <w:rsid w:val="00B44D6A"/>
    <w:rsid w:val="00B70AFA"/>
    <w:rsid w:val="00B82521"/>
    <w:rsid w:val="00B94FED"/>
    <w:rsid w:val="00B964CF"/>
    <w:rsid w:val="00BE5B6F"/>
    <w:rsid w:val="00BF4721"/>
    <w:rsid w:val="00C06441"/>
    <w:rsid w:val="00C11746"/>
    <w:rsid w:val="00C36CC4"/>
    <w:rsid w:val="00C47062"/>
    <w:rsid w:val="00CD228D"/>
    <w:rsid w:val="00CD2956"/>
    <w:rsid w:val="00CD699E"/>
    <w:rsid w:val="00D0068A"/>
    <w:rsid w:val="00D2311C"/>
    <w:rsid w:val="00D238C9"/>
    <w:rsid w:val="00D62CB2"/>
    <w:rsid w:val="00D941B5"/>
    <w:rsid w:val="00D97CF7"/>
    <w:rsid w:val="00DA0C20"/>
    <w:rsid w:val="00DB581F"/>
    <w:rsid w:val="00DD07D5"/>
    <w:rsid w:val="00DD4DB0"/>
    <w:rsid w:val="00DD6CFC"/>
    <w:rsid w:val="00DE3EF9"/>
    <w:rsid w:val="00DE60AD"/>
    <w:rsid w:val="00E52E40"/>
    <w:rsid w:val="00E572C4"/>
    <w:rsid w:val="00E577A4"/>
    <w:rsid w:val="00E856D9"/>
    <w:rsid w:val="00E93E39"/>
    <w:rsid w:val="00EB40EB"/>
    <w:rsid w:val="00EC26BE"/>
    <w:rsid w:val="00EF4E94"/>
    <w:rsid w:val="00F06F38"/>
    <w:rsid w:val="00F15ED3"/>
    <w:rsid w:val="00F533EB"/>
    <w:rsid w:val="00F615FA"/>
    <w:rsid w:val="00F84B00"/>
    <w:rsid w:val="00F866E2"/>
    <w:rsid w:val="00F902F0"/>
    <w:rsid w:val="00FA763A"/>
    <w:rsid w:val="00FB099F"/>
    <w:rsid w:val="00FB3889"/>
    <w:rsid w:val="00F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A5F8"/>
  <w15:docId w15:val="{8508EB9F-5964-4EE6-AB0C-66772681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line="276" w:lineRule="auto"/>
      <w:outlineLvl w:val="0"/>
    </w:pPr>
    <w:rPr>
      <w:rFonts w:ascii="TH SarabunPSK" w:eastAsia="TH SarabunPSK" w:hAnsi="TH SarabunPSK" w:cs="TH SarabunPSK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TH SarabunPSK" w:eastAsia="TH SarabunPSK" w:hAnsi="TH SarabunPSK" w:cs="TH SarabunPSK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line="276" w:lineRule="auto"/>
      <w:outlineLvl w:val="2"/>
    </w:pPr>
    <w:rPr>
      <w:rFonts w:ascii="TH SarabunPSK" w:eastAsia="TH SarabunPSK" w:hAnsi="TH SarabunPSK" w:cs="TH SarabunPSK"/>
      <w:b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200" w:line="276" w:lineRule="auto"/>
      <w:outlineLvl w:val="3"/>
    </w:pPr>
    <w:rPr>
      <w:rFonts w:ascii="TH SarabunPSK" w:eastAsia="TH SarabunPSK" w:hAnsi="TH SarabunPSK" w:cs="TH SarabunPSK"/>
      <w:b/>
      <w:i/>
      <w:color w:val="4F81BD"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200" w:line="276" w:lineRule="auto"/>
      <w:outlineLvl w:val="4"/>
    </w:pPr>
    <w:rPr>
      <w:rFonts w:ascii="TH SarabunPSK" w:eastAsia="TH SarabunPSK" w:hAnsi="TH SarabunPSK" w:cs="TH SarabunPSK"/>
      <w:color w:val="243F6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line="276" w:lineRule="auto"/>
      <w:outlineLvl w:val="5"/>
    </w:pPr>
    <w:rPr>
      <w:rFonts w:ascii="TH SarabunPSK" w:eastAsia="TH SarabunPSK" w:hAnsi="TH SarabunPSK" w:cs="TH SarabunPSK"/>
      <w:i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/>
    </w:pPr>
    <w:rPr>
      <w:rFonts w:ascii="TH SarabunPSK" w:eastAsia="TH SarabunPSK" w:hAnsi="TH SarabunPSK" w:cs="TH SarabunPSK"/>
      <w:color w:val="17365D"/>
      <w:sz w:val="52"/>
      <w:szCs w:val="5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TH SarabunPSK" w:eastAsia="TH SarabunPSK" w:hAnsi="TH SarabunPSK" w:cs="TH SarabunPSK"/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0068A"/>
    <w:pPr>
      <w:ind w:left="720"/>
      <w:contextualSpacing/>
    </w:pPr>
    <w:rPr>
      <w:rFonts w:cs="Angsana New"/>
      <w:szCs w:val="30"/>
    </w:rPr>
  </w:style>
  <w:style w:type="character" w:styleId="Hyperlink">
    <w:name w:val="Hyperlink"/>
    <w:basedOn w:val="DefaultParagraphFont"/>
    <w:uiPriority w:val="9"/>
    <w:unhideWhenUsed/>
    <w:rsid w:val="00B1187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F08F6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AF08F6"/>
    <w:rPr>
      <w:rFonts w:cs="Angsana New"/>
      <w:szCs w:val="3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4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online.wt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308D1-09D4-42C7-A947-99E4732A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uasuk</dc:creator>
  <cp:lastModifiedBy>D52VF42</cp:lastModifiedBy>
  <cp:revision>1</cp:revision>
  <cp:lastPrinted>2019-08-14T10:34:00Z</cp:lastPrinted>
  <dcterms:created xsi:type="dcterms:W3CDTF">2023-06-01T07:30:00Z</dcterms:created>
  <dcterms:modified xsi:type="dcterms:W3CDTF">2023-06-01T07:34:00Z</dcterms:modified>
</cp:coreProperties>
</file>